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B4F0" w14:textId="4DF3ADDA" w:rsidR="00B02DC2" w:rsidRPr="00483E3F" w:rsidRDefault="00B02DC2" w:rsidP="00B02DC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483E3F">
        <w:rPr>
          <w:rFonts w:cs="Arial"/>
          <w:b/>
          <w:bCs/>
          <w:sz w:val="24"/>
          <w:szCs w:val="24"/>
          <w:lang w:eastAsia="ja-JP"/>
        </w:rPr>
        <w:t>3GPP TSG-RAN WG2 Meeting #1</w:t>
      </w:r>
      <w:r w:rsidR="00DB6E72" w:rsidRPr="00483E3F">
        <w:rPr>
          <w:rFonts w:cs="Arial"/>
          <w:b/>
          <w:bCs/>
          <w:sz w:val="24"/>
          <w:szCs w:val="24"/>
          <w:lang w:eastAsia="ja-JP"/>
        </w:rPr>
        <w:t>2</w:t>
      </w:r>
      <w:r w:rsidR="00666CF0">
        <w:rPr>
          <w:rFonts w:cs="Arial"/>
          <w:b/>
          <w:bCs/>
          <w:sz w:val="24"/>
          <w:szCs w:val="24"/>
          <w:lang w:eastAsia="ja-JP"/>
        </w:rPr>
        <w:t>3</w:t>
      </w:r>
      <w:r w:rsidR="00B76F8F">
        <w:rPr>
          <w:rFonts w:cs="Arial"/>
          <w:b/>
          <w:bCs/>
          <w:sz w:val="24"/>
          <w:szCs w:val="24"/>
          <w:lang w:eastAsia="ja-JP"/>
        </w:rPr>
        <w:t>bis</w:t>
      </w:r>
      <w:r w:rsidRPr="00483E3F">
        <w:rPr>
          <w:rFonts w:cs="Arial"/>
          <w:b/>
          <w:i/>
          <w:noProof/>
          <w:sz w:val="28"/>
        </w:rPr>
        <w:tab/>
        <w:t xml:space="preserve"> </w:t>
      </w:r>
      <w:r w:rsidR="004A72B1" w:rsidRPr="004A72B1">
        <w:rPr>
          <w:rFonts w:cs="Arial"/>
          <w:b/>
          <w:noProof/>
          <w:sz w:val="28"/>
        </w:rPr>
        <w:t>R2-2309783</w:t>
      </w:r>
    </w:p>
    <w:p w14:paraId="7EDADF11" w14:textId="675B91F3" w:rsidR="00840627" w:rsidRPr="00483E3F" w:rsidRDefault="00D06614" w:rsidP="00840627">
      <w:pPr>
        <w:pStyle w:val="CRCoverPage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Xiamen, China, Oct 9-13, 2023</w:t>
      </w:r>
    </w:p>
    <w:p w14:paraId="51FC7E83" w14:textId="76EEFAD6" w:rsidR="00B02DC2" w:rsidRPr="00483E3F" w:rsidRDefault="00B02DC2" w:rsidP="00B02DC2">
      <w:pPr>
        <w:pStyle w:val="CRCoverPage"/>
        <w:ind w:left="1988" w:hanging="1988"/>
        <w:rPr>
          <w:rFonts w:eastAsia="SimSun" w:cs="Arial"/>
          <w:b/>
          <w:noProof/>
          <w:sz w:val="24"/>
          <w:lang w:val="en-US" w:eastAsia="zh-CN"/>
        </w:rPr>
      </w:pPr>
      <w:r w:rsidRPr="00483E3F">
        <w:rPr>
          <w:rFonts w:cs="Arial"/>
          <w:b/>
          <w:noProof/>
          <w:sz w:val="24"/>
        </w:rPr>
        <w:t>Agenda Item:</w:t>
      </w:r>
      <w:r w:rsidRPr="00483E3F">
        <w:rPr>
          <w:rFonts w:cs="Arial"/>
          <w:b/>
          <w:noProof/>
          <w:sz w:val="24"/>
        </w:rPr>
        <w:tab/>
      </w:r>
      <w:r w:rsidR="00641056" w:rsidRPr="00483E3F">
        <w:rPr>
          <w:rFonts w:cs="Arial"/>
          <w:b/>
          <w:noProof/>
          <w:sz w:val="24"/>
        </w:rPr>
        <w:t>7</w:t>
      </w:r>
      <w:r w:rsidRPr="00483E3F">
        <w:rPr>
          <w:rFonts w:cs="Arial"/>
          <w:b/>
          <w:noProof/>
          <w:sz w:val="24"/>
        </w:rPr>
        <w:t>.</w:t>
      </w:r>
      <w:r w:rsidR="001574B5" w:rsidRPr="00483E3F">
        <w:rPr>
          <w:rFonts w:cs="Arial"/>
          <w:b/>
          <w:noProof/>
          <w:sz w:val="24"/>
        </w:rPr>
        <w:t>6</w:t>
      </w:r>
      <w:r w:rsidRPr="00483E3F">
        <w:rPr>
          <w:rFonts w:cs="Arial"/>
          <w:b/>
          <w:noProof/>
          <w:sz w:val="24"/>
        </w:rPr>
        <w:t>.</w:t>
      </w:r>
      <w:r w:rsidR="00DB6E72" w:rsidRPr="00483E3F">
        <w:rPr>
          <w:rFonts w:cs="Arial"/>
          <w:b/>
          <w:noProof/>
          <w:sz w:val="24"/>
        </w:rPr>
        <w:t>3</w:t>
      </w:r>
      <w:r w:rsidR="00A86CBE" w:rsidRPr="00483E3F">
        <w:rPr>
          <w:rFonts w:cs="Arial"/>
          <w:b/>
          <w:noProof/>
          <w:sz w:val="24"/>
        </w:rPr>
        <w:t>.</w:t>
      </w:r>
      <w:r w:rsidR="00641056" w:rsidRPr="00483E3F">
        <w:rPr>
          <w:rFonts w:cs="Arial"/>
          <w:b/>
          <w:noProof/>
          <w:sz w:val="24"/>
        </w:rPr>
        <w:t>1</w:t>
      </w:r>
    </w:p>
    <w:p w14:paraId="5E8E40D4" w14:textId="77777777" w:rsidR="00B02DC2" w:rsidRPr="00483E3F" w:rsidRDefault="00B02DC2" w:rsidP="00B02DC2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483E3F">
        <w:rPr>
          <w:rFonts w:cs="Arial"/>
          <w:b/>
          <w:noProof/>
          <w:sz w:val="24"/>
        </w:rPr>
        <w:t>Souce:</w:t>
      </w:r>
      <w:r w:rsidRPr="00483E3F">
        <w:rPr>
          <w:rFonts w:cs="Arial"/>
          <w:b/>
          <w:noProof/>
          <w:sz w:val="24"/>
        </w:rPr>
        <w:tab/>
        <w:t>MediaTek Inc.</w:t>
      </w:r>
    </w:p>
    <w:p w14:paraId="1259EBAC" w14:textId="1A3B5A97" w:rsidR="00B02DC2" w:rsidRPr="00483E3F" w:rsidRDefault="00B02DC2" w:rsidP="00B02DC2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483E3F">
        <w:rPr>
          <w:rFonts w:cs="Arial"/>
          <w:b/>
          <w:noProof/>
          <w:sz w:val="24"/>
        </w:rPr>
        <w:t>Title:</w:t>
      </w:r>
      <w:r w:rsidRPr="00483E3F">
        <w:rPr>
          <w:rFonts w:cs="Arial"/>
          <w:b/>
          <w:noProof/>
          <w:sz w:val="24"/>
        </w:rPr>
        <w:tab/>
      </w:r>
      <w:bookmarkStart w:id="0" w:name="OLE_LINK1"/>
      <w:bookmarkStart w:id="1" w:name="OLE_LINK2"/>
      <w:r w:rsidR="005B150D" w:rsidRPr="00483E3F">
        <w:rPr>
          <w:rFonts w:cs="Arial"/>
          <w:b/>
          <w:noProof/>
          <w:sz w:val="24"/>
        </w:rPr>
        <w:t>Enhancements on neighbour cell measurement</w:t>
      </w:r>
    </w:p>
    <w:bookmarkEnd w:id="0"/>
    <w:bookmarkEnd w:id="1"/>
    <w:p w14:paraId="1EB2D31E" w14:textId="6AD24BEA" w:rsidR="00B02DC2" w:rsidRPr="00483E3F" w:rsidRDefault="00B02DC2" w:rsidP="00B02DC2">
      <w:pPr>
        <w:pStyle w:val="CRCoverPage"/>
        <w:rPr>
          <w:rFonts w:cs="Arial"/>
          <w:b/>
          <w:noProof/>
          <w:sz w:val="24"/>
        </w:rPr>
      </w:pPr>
      <w:r w:rsidRPr="00483E3F">
        <w:rPr>
          <w:rFonts w:cs="Arial"/>
          <w:b/>
          <w:noProof/>
          <w:sz w:val="24"/>
        </w:rPr>
        <w:t>Document for:</w:t>
      </w:r>
      <w:r w:rsidRPr="00483E3F">
        <w:rPr>
          <w:rFonts w:cs="Arial"/>
          <w:b/>
          <w:noProof/>
          <w:sz w:val="24"/>
        </w:rPr>
        <w:tab/>
      </w:r>
      <w:r w:rsidRPr="00483E3F">
        <w:rPr>
          <w:rFonts w:cs="Arial"/>
          <w:b/>
          <w:noProof/>
          <w:sz w:val="24"/>
        </w:rPr>
        <w:tab/>
      </w:r>
      <w:r w:rsidR="008659D0" w:rsidRPr="00483E3F">
        <w:rPr>
          <w:rFonts w:cs="Arial"/>
          <w:b/>
          <w:noProof/>
          <w:sz w:val="24"/>
        </w:rPr>
        <w:t xml:space="preserve">Discussion and </w:t>
      </w:r>
      <w:r w:rsidR="00904BF4" w:rsidRPr="00483E3F">
        <w:rPr>
          <w:rFonts w:cs="Arial"/>
          <w:b/>
          <w:noProof/>
          <w:sz w:val="24"/>
        </w:rPr>
        <w:t>Agreement</w:t>
      </w:r>
    </w:p>
    <w:p w14:paraId="3EBF3ADE" w14:textId="1E785B51" w:rsidR="00CA2EA4" w:rsidRDefault="003C1CA3" w:rsidP="002000A7">
      <w:pPr>
        <w:pStyle w:val="Heading1"/>
        <w:rPr>
          <w:rFonts w:cs="Arial"/>
          <w:b/>
          <w:lang w:val="en-US" w:eastAsia="ko-KR"/>
        </w:rPr>
      </w:pPr>
      <w:r w:rsidRPr="00483E3F">
        <w:rPr>
          <w:rFonts w:cs="Arial"/>
          <w:b/>
          <w:lang w:val="en-US" w:eastAsia="ko-KR"/>
        </w:rPr>
        <w:t xml:space="preserve">1 </w:t>
      </w:r>
      <w:r w:rsidR="00156A1A" w:rsidRPr="00483E3F">
        <w:rPr>
          <w:rFonts w:cs="Arial"/>
          <w:b/>
          <w:lang w:val="en-US" w:eastAsia="ko-KR"/>
        </w:rPr>
        <w:t>Introduction</w:t>
      </w:r>
    </w:p>
    <w:p w14:paraId="7EF37C48" w14:textId="04908722" w:rsidR="00D464EC" w:rsidRDefault="007464DA" w:rsidP="001574B5">
      <w:pPr>
        <w:tabs>
          <w:tab w:val="left" w:pos="1622"/>
        </w:tabs>
        <w:spacing w:after="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eastAsia="zh-CN"/>
        </w:rPr>
        <w:t>In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the RAN2#123, the following agreements were made:</w:t>
      </w:r>
    </w:p>
    <w:p w14:paraId="379CE78A" w14:textId="77777777" w:rsidR="007464DA" w:rsidRDefault="007464DA" w:rsidP="001574B5">
      <w:pPr>
        <w:tabs>
          <w:tab w:val="left" w:pos="1622"/>
        </w:tabs>
        <w:spacing w:after="0"/>
        <w:jc w:val="both"/>
        <w:rPr>
          <w:rFonts w:ascii="Arial" w:eastAsia="SimSun" w:hAnsi="Arial" w:cs="Arial"/>
          <w:lang w:val="en-US" w:eastAsia="zh-CN"/>
        </w:rPr>
      </w:pPr>
    </w:p>
    <w:p w14:paraId="7E2D3329" w14:textId="77777777" w:rsidR="007464DA" w:rsidRDefault="007464DA" w:rsidP="007464DA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22"/>
        </w:tabs>
        <w:ind w:left="709"/>
        <w:rPr>
          <w:lang w:eastAsia="en-GB"/>
        </w:rPr>
      </w:pPr>
      <w:r>
        <w:t>Agreements:</w:t>
      </w:r>
    </w:p>
    <w:p w14:paraId="2710B2D8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 xml:space="preserve">For </w:t>
      </w:r>
      <w:proofErr w:type="spellStart"/>
      <w:r>
        <w:t>eMTC</w:t>
      </w:r>
      <w:proofErr w:type="spellEnd"/>
      <w:r>
        <w:t>, the new SIB (</w:t>
      </w:r>
      <w:proofErr w:type="spellStart"/>
      <w:r>
        <w:t>SIBxx</w:t>
      </w:r>
      <w:proofErr w:type="spellEnd"/>
      <w:r>
        <w:t>) is not an essential SIB. UE does not need to consider the cell barred if it is unable to acquire the SIB when scheduled.</w:t>
      </w:r>
    </w:p>
    <w:p w14:paraId="46A9C130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>RAN2 will not consider to include cell stop time of neighbor cell in the new SIB (</w:t>
      </w:r>
      <w:proofErr w:type="spellStart"/>
      <w:r>
        <w:t>SIBxx</w:t>
      </w:r>
      <w:proofErr w:type="spellEnd"/>
      <w:r>
        <w:t>) in this release.</w:t>
      </w:r>
    </w:p>
    <w:p w14:paraId="79653B88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>for NB-IoT NTN, location-based measurement initiation can also be optionally used in RRC_IDLE for cell re-selection purposes (like in NR-NTN), with the assumption that it is up to the UE to update GNSS location.</w:t>
      </w:r>
    </w:p>
    <w:p w14:paraId="3BA9BC3B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>validity duration is optional, and if this field is absent, the UE uses validity duration from the serving cell</w:t>
      </w:r>
    </w:p>
    <w:p w14:paraId="79A6E598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>For re-acquisition of SIBXX the UE may rely on T317/T318 in connected mode</w:t>
      </w:r>
    </w:p>
    <w:p w14:paraId="12C2E0F9" w14:textId="77777777" w:rsidR="007464DA" w:rsidRDefault="007464DA" w:rsidP="007464D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  <w:r>
        <w:t xml:space="preserve">For CHO in NTN (both NR NTN and </w:t>
      </w:r>
      <w:proofErr w:type="spellStart"/>
      <w:r>
        <w:t>eMTC</w:t>
      </w:r>
      <w:proofErr w:type="spellEnd"/>
      <w:r>
        <w:t xml:space="preserve"> NTN, time and location-based trigger conditions may be configured independently (i.e., without a jointly configured measurement condition). We add a description/note saying in which scenarios this is reasonable, e.g. at least hard-switch case where gap is assumed to be zero/negligible</w:t>
      </w:r>
    </w:p>
    <w:p w14:paraId="4F91D56C" w14:textId="5993E6F9" w:rsidR="007464DA" w:rsidRPr="007464DA" w:rsidRDefault="007464DA" w:rsidP="001574B5">
      <w:pPr>
        <w:tabs>
          <w:tab w:val="left" w:pos="1622"/>
        </w:tabs>
        <w:spacing w:after="0"/>
        <w:jc w:val="both"/>
        <w:rPr>
          <w:rFonts w:ascii="Arial" w:eastAsia="SimSun" w:hAnsi="Arial" w:cs="Arial"/>
          <w:lang w:eastAsia="zh-CN"/>
        </w:rPr>
      </w:pPr>
    </w:p>
    <w:p w14:paraId="1A10C303" w14:textId="5763A4DE" w:rsidR="007464DA" w:rsidRPr="007464DA" w:rsidRDefault="007464DA" w:rsidP="001574B5">
      <w:pPr>
        <w:tabs>
          <w:tab w:val="left" w:pos="1622"/>
        </w:tabs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I</w:t>
      </w:r>
      <w:r>
        <w:rPr>
          <w:rFonts w:ascii="Arial" w:eastAsia="SimSun" w:hAnsi="Arial" w:cs="Arial"/>
          <w:lang w:eastAsia="zh-CN"/>
        </w:rPr>
        <w:t>n this contribution, we will discuss the remaining issues.</w:t>
      </w:r>
    </w:p>
    <w:p w14:paraId="0C625E6C" w14:textId="7F4A2F39" w:rsidR="00355D0B" w:rsidRDefault="00972E3C" w:rsidP="00355D0B">
      <w:pPr>
        <w:pStyle w:val="Heading1"/>
        <w:rPr>
          <w:rFonts w:cs="Arial"/>
          <w:b/>
          <w:lang w:val="en-US" w:eastAsia="ko-KR"/>
        </w:rPr>
      </w:pPr>
      <w:r w:rsidRPr="00483E3F">
        <w:rPr>
          <w:rFonts w:cs="Arial"/>
          <w:b/>
          <w:lang w:val="en-US" w:eastAsia="ko-KR"/>
        </w:rPr>
        <w:t xml:space="preserve">2 </w:t>
      </w:r>
      <w:r w:rsidR="00500F78" w:rsidRPr="00483E3F">
        <w:rPr>
          <w:rFonts w:cs="Arial"/>
          <w:b/>
          <w:lang w:val="en-US" w:eastAsia="ko-KR"/>
        </w:rPr>
        <w:t>Discussion</w:t>
      </w:r>
    </w:p>
    <w:p w14:paraId="69E4173C" w14:textId="77777777" w:rsidR="00924AF3" w:rsidRPr="00483E3F" w:rsidRDefault="00924AF3" w:rsidP="00924AF3">
      <w:pPr>
        <w:pStyle w:val="Comments"/>
        <w:spacing w:after="180"/>
        <w:rPr>
          <w:rFonts w:cs="Arial"/>
          <w:i w:val="0"/>
          <w:iCs/>
          <w:lang w:val="en-US"/>
        </w:rPr>
      </w:pPr>
      <w:r w:rsidRPr="00483E3F">
        <w:rPr>
          <w:rFonts w:cs="Arial"/>
          <w:i w:val="0"/>
          <w:iCs/>
          <w:lang w:val="en-US"/>
        </w:rPr>
        <w:t>In the RAN2-121 meeting, for quasi-earth-fixed cell and earth-moving cell, a serving cell reference location and a distance threshold/radius are specified for detecting when to trigger connected mode measurements. FFS on whether the R17 IEs are reused or not.</w:t>
      </w:r>
    </w:p>
    <w:p w14:paraId="6E5C58C6" w14:textId="77777777" w:rsidR="00924AF3" w:rsidRPr="00483E3F" w:rsidRDefault="00924AF3" w:rsidP="00924AF3">
      <w:pPr>
        <w:pStyle w:val="Comments"/>
        <w:spacing w:after="180"/>
        <w:rPr>
          <w:rFonts w:cs="Arial"/>
          <w:i w:val="0"/>
          <w:iCs/>
          <w:lang w:val="en-US"/>
        </w:rPr>
      </w:pPr>
      <w:r w:rsidRPr="00483E3F">
        <w:rPr>
          <w:rFonts w:cs="Arial"/>
          <w:i w:val="0"/>
          <w:iCs/>
          <w:lang w:val="en-US"/>
        </w:rPr>
        <w:t>The Rel-17 footprint IE(</w:t>
      </w:r>
      <w:r w:rsidRPr="00483E3F">
        <w:rPr>
          <w:rFonts w:cs="Arial"/>
          <w:lang w:val="en-US"/>
        </w:rPr>
        <w:t>footprintInfo-r17</w:t>
      </w:r>
      <w:r w:rsidRPr="00483E3F">
        <w:rPr>
          <w:rFonts w:cs="Arial"/>
          <w:i w:val="0"/>
          <w:iCs/>
          <w:lang w:val="en-US"/>
        </w:rPr>
        <w:t xml:space="preserve">) was introduced for discontinuous coverage in SIB32. It includes </w:t>
      </w:r>
      <w:r w:rsidRPr="00483E3F">
        <w:rPr>
          <w:rFonts w:cs="Arial"/>
          <w:lang w:val="en-US"/>
        </w:rPr>
        <w:t>referencePoint-r17</w:t>
      </w:r>
      <w:r w:rsidRPr="00483E3F">
        <w:rPr>
          <w:rFonts w:cs="Arial"/>
          <w:i w:val="0"/>
          <w:iCs/>
          <w:lang w:val="en-US"/>
        </w:rPr>
        <w:t xml:space="preserve">(including </w:t>
      </w:r>
      <w:r w:rsidRPr="00483E3F">
        <w:rPr>
          <w:rFonts w:cs="Arial"/>
          <w:lang w:val="en-US"/>
        </w:rPr>
        <w:t>longitude-r17</w:t>
      </w:r>
      <w:r w:rsidRPr="00483E3F">
        <w:rPr>
          <w:rFonts w:cs="Arial"/>
          <w:i w:val="0"/>
          <w:iCs/>
          <w:lang w:val="en-US"/>
        </w:rPr>
        <w:t xml:space="preserve"> and</w:t>
      </w:r>
      <w:r w:rsidRPr="00483E3F">
        <w:rPr>
          <w:rFonts w:cs="Arial"/>
          <w:lang w:val="en-US"/>
        </w:rPr>
        <w:t xml:space="preserve"> latitude-r17</w:t>
      </w:r>
      <w:r w:rsidRPr="00483E3F">
        <w:rPr>
          <w:rFonts w:cs="Arial"/>
          <w:i w:val="0"/>
          <w:iCs/>
          <w:lang w:val="en-US"/>
        </w:rPr>
        <w:t>),</w:t>
      </w:r>
      <w:r w:rsidRPr="00483E3F">
        <w:rPr>
          <w:rFonts w:cs="Arial"/>
          <w:lang w:val="en-US"/>
        </w:rPr>
        <w:t xml:space="preserve"> elevationAngles-r-17</w:t>
      </w:r>
      <w:r w:rsidRPr="00483E3F">
        <w:rPr>
          <w:rFonts w:cs="Arial"/>
          <w:i w:val="0"/>
          <w:iCs/>
          <w:lang w:val="en-US"/>
        </w:rPr>
        <w:t>,</w:t>
      </w:r>
      <w:r w:rsidRPr="00483E3F">
        <w:rPr>
          <w:rFonts w:cs="Arial"/>
          <w:lang w:val="en-US"/>
        </w:rPr>
        <w:t>radius-r17</w:t>
      </w:r>
      <w:r w:rsidRPr="00483E3F">
        <w:rPr>
          <w:rFonts w:cs="Arial"/>
          <w:i w:val="0"/>
          <w:iCs/>
          <w:lang w:val="en-US"/>
        </w:rPr>
        <w:t xml:space="preserve">. Since the elevation angles is not used in rel-18, it is better not to reuse the </w:t>
      </w:r>
      <w:r w:rsidRPr="00483E3F">
        <w:rPr>
          <w:rFonts w:cs="Arial"/>
          <w:lang w:val="en-US"/>
        </w:rPr>
        <w:t>footprintInfo-r17</w:t>
      </w:r>
      <w:r w:rsidRPr="00483E3F">
        <w:rPr>
          <w:rFonts w:cs="Arial"/>
          <w:i w:val="0"/>
          <w:iCs/>
          <w:lang w:val="en-US"/>
        </w:rPr>
        <w:t>. But the</w:t>
      </w:r>
      <w:bookmarkStart w:id="2" w:name="_Hlk131714320"/>
      <w:r w:rsidRPr="00483E3F">
        <w:rPr>
          <w:rFonts w:cs="Arial"/>
          <w:i w:val="0"/>
          <w:iCs/>
          <w:lang w:val="en-US"/>
        </w:rPr>
        <w:t xml:space="preserve"> referencePoint-r17 and radius-r17</w:t>
      </w:r>
      <w:bookmarkEnd w:id="2"/>
      <w:r w:rsidRPr="00483E3F">
        <w:rPr>
          <w:rFonts w:cs="Arial"/>
          <w:i w:val="0"/>
          <w:iCs/>
          <w:lang w:val="en-US"/>
        </w:rPr>
        <w:t xml:space="preserve"> can be reused.</w:t>
      </w:r>
    </w:p>
    <w:p w14:paraId="074C97AD" w14:textId="7EB5C2B7" w:rsidR="00924AF3" w:rsidRDefault="00924AF3" w:rsidP="00924AF3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>Proposal 1: For earth fixed and earth moving cell, serving cell reference location uses the Rel-17 footprint IE (i.e.</w:t>
      </w:r>
      <w:r w:rsidR="00B90075">
        <w:rPr>
          <w:rFonts w:ascii="Arial" w:hAnsi="Arial" w:cs="Arial"/>
          <w:b/>
          <w:bCs/>
          <w:lang w:val="en-US" w:eastAsia="ko-KR"/>
        </w:rPr>
        <w:t>,</w:t>
      </w:r>
      <w:r w:rsidRPr="00924AF3">
        <w:rPr>
          <w:rFonts w:ascii="Arial" w:hAnsi="Arial" w:cs="Arial"/>
          <w:b/>
          <w:bCs/>
          <w:lang w:val="en-US" w:eastAsia="ko-KR"/>
        </w:rPr>
        <w:t xml:space="preserve"> referencePoint-r17 and radius-r17)</w:t>
      </w:r>
    </w:p>
    <w:p w14:paraId="48CBD8C3" w14:textId="443DB52E" w:rsidR="007464DA" w:rsidRDefault="007464DA" w:rsidP="007464DA">
      <w:pPr>
        <w:pStyle w:val="Comments"/>
        <w:spacing w:after="180"/>
        <w:rPr>
          <w:rFonts w:cs="Arial"/>
          <w:i w:val="0"/>
          <w:iCs/>
          <w:lang w:val="en-US"/>
        </w:rPr>
      </w:pPr>
      <w:r w:rsidRPr="007464DA">
        <w:rPr>
          <w:rFonts w:cs="Arial"/>
          <w:i w:val="0"/>
          <w:iCs/>
          <w:lang w:val="en-US"/>
        </w:rPr>
        <w:t xml:space="preserve">RAN2 has discussed whether the t-ServiceStartNeigh </w:t>
      </w:r>
      <w:r>
        <w:rPr>
          <w:rFonts w:cs="Arial"/>
          <w:i w:val="0"/>
          <w:iCs/>
          <w:lang w:val="en-US"/>
        </w:rPr>
        <w:t xml:space="preserve">for </w:t>
      </w:r>
      <w:r w:rsidRPr="007464DA">
        <w:rPr>
          <w:rFonts w:cs="Arial"/>
          <w:i w:val="0"/>
          <w:iCs/>
          <w:lang w:val="en-US"/>
        </w:rPr>
        <w:t>quasi-earth fixed neighbour cells is per neighbor cell</w:t>
      </w:r>
      <w:r>
        <w:rPr>
          <w:rFonts w:cs="Arial"/>
          <w:i w:val="0"/>
          <w:iCs/>
          <w:lang w:val="en-US"/>
        </w:rPr>
        <w:t>.</w:t>
      </w:r>
      <w:r w:rsidR="007E431A">
        <w:rPr>
          <w:rFonts w:cs="Arial"/>
          <w:i w:val="0"/>
          <w:iCs/>
          <w:lang w:val="en-US"/>
        </w:rPr>
        <w:t xml:space="preserve"> </w:t>
      </w:r>
      <w:r>
        <w:rPr>
          <w:rFonts w:cs="Arial"/>
          <w:i w:val="0"/>
          <w:iCs/>
          <w:lang w:val="en-US"/>
        </w:rPr>
        <w:t xml:space="preserve">But the issue has no agreement. </w:t>
      </w:r>
    </w:p>
    <w:p w14:paraId="7409EB73" w14:textId="266C1456" w:rsidR="007464DA" w:rsidRDefault="007464DA" w:rsidP="007464DA">
      <w:pPr>
        <w:pStyle w:val="Comments"/>
        <w:spacing w:after="180"/>
        <w:rPr>
          <w:rFonts w:cs="Arial"/>
          <w:i w:val="0"/>
          <w:iCs/>
          <w:lang w:val="en-US"/>
        </w:rPr>
      </w:pPr>
      <w:r>
        <w:rPr>
          <w:rFonts w:cs="Arial"/>
          <w:i w:val="0"/>
          <w:iCs/>
          <w:lang w:val="en-US"/>
        </w:rPr>
        <w:t>N</w:t>
      </w:r>
      <w:r w:rsidRPr="007464DA">
        <w:rPr>
          <w:rFonts w:cs="Arial"/>
          <w:i w:val="0"/>
          <w:iCs/>
          <w:lang w:val="en-US"/>
        </w:rPr>
        <w:t xml:space="preserve">eighbor cells </w:t>
      </w:r>
      <w:r>
        <w:rPr>
          <w:rFonts w:cs="Arial"/>
          <w:i w:val="0"/>
          <w:iCs/>
          <w:lang w:val="en-US"/>
        </w:rPr>
        <w:t>provided by different satellite</w:t>
      </w:r>
      <w:r w:rsidR="00AD74BE">
        <w:rPr>
          <w:rFonts w:cs="Arial"/>
          <w:i w:val="0"/>
          <w:iCs/>
          <w:lang w:val="en-US"/>
        </w:rPr>
        <w:t>s</w:t>
      </w:r>
      <w:r>
        <w:rPr>
          <w:rFonts w:cs="Arial"/>
          <w:i w:val="0"/>
          <w:iCs/>
          <w:lang w:val="en-US"/>
        </w:rPr>
        <w:t xml:space="preserve"> </w:t>
      </w:r>
      <w:r w:rsidRPr="007464DA">
        <w:rPr>
          <w:rFonts w:cs="Arial"/>
          <w:i w:val="0"/>
          <w:iCs/>
          <w:lang w:val="en-US"/>
        </w:rPr>
        <w:t>should have different start time</w:t>
      </w:r>
      <w:r w:rsidR="00AD74BE">
        <w:rPr>
          <w:rFonts w:cs="Arial"/>
          <w:i w:val="0"/>
          <w:iCs/>
          <w:lang w:val="en-US"/>
        </w:rPr>
        <w:t>s</w:t>
      </w:r>
      <w:r>
        <w:rPr>
          <w:rFonts w:cs="Arial"/>
          <w:i w:val="0"/>
          <w:iCs/>
          <w:lang w:val="en-US"/>
        </w:rPr>
        <w:t xml:space="preserve">. </w:t>
      </w:r>
      <w:r w:rsidR="007E431A" w:rsidRPr="007464DA">
        <w:rPr>
          <w:rFonts w:cs="Arial"/>
          <w:i w:val="0"/>
          <w:iCs/>
          <w:lang w:val="en-US"/>
        </w:rPr>
        <w:t xml:space="preserve">However, it should be taken into account that it is possible that one satellite provides more than one cell. </w:t>
      </w:r>
      <w:r>
        <w:rPr>
          <w:rFonts w:cs="Arial"/>
          <w:i w:val="0"/>
          <w:iCs/>
          <w:lang w:val="en-US"/>
        </w:rPr>
        <w:t>For the cells provided by the same satellite, as the cells may cover different geog</w:t>
      </w:r>
      <w:r>
        <w:rPr>
          <w:rFonts w:eastAsia="SimSun" w:cs="Arial" w:hint="eastAsia"/>
          <w:i w:val="0"/>
          <w:iCs/>
          <w:lang w:val="en-US" w:eastAsia="zh-CN"/>
        </w:rPr>
        <w:t>r</w:t>
      </w:r>
      <w:r>
        <w:rPr>
          <w:rFonts w:eastAsia="SimSun" w:cs="Arial"/>
          <w:i w:val="0"/>
          <w:iCs/>
          <w:lang w:val="en-US" w:eastAsia="zh-CN"/>
        </w:rPr>
        <w:t>aph</w:t>
      </w:r>
      <w:r w:rsidR="00172DE3">
        <w:rPr>
          <w:rFonts w:eastAsia="SimSun" w:cs="Arial"/>
          <w:i w:val="0"/>
          <w:iCs/>
          <w:lang w:val="en-US" w:eastAsia="zh-CN"/>
        </w:rPr>
        <w:t>ic areas</w:t>
      </w:r>
      <w:r>
        <w:rPr>
          <w:rFonts w:eastAsia="SimSun" w:cs="Arial"/>
          <w:i w:val="0"/>
          <w:iCs/>
          <w:lang w:val="en-US" w:eastAsia="zh-CN"/>
        </w:rPr>
        <w:t>, the start time can vary</w:t>
      </w:r>
      <w:r w:rsidR="007E431A">
        <w:rPr>
          <w:rFonts w:eastAsia="SimSun" w:cs="Arial"/>
          <w:i w:val="0"/>
          <w:iCs/>
          <w:lang w:val="en-US" w:eastAsia="zh-CN"/>
        </w:rPr>
        <w:t xml:space="preserve">. </w:t>
      </w:r>
      <w:r w:rsidR="007E431A">
        <w:rPr>
          <w:rFonts w:eastAsia="SimSun" w:cs="Arial" w:hint="eastAsia"/>
          <w:i w:val="0"/>
          <w:iCs/>
          <w:lang w:val="en-US" w:eastAsia="zh-CN"/>
        </w:rPr>
        <w:t>T</w:t>
      </w:r>
      <w:r w:rsidRPr="007464DA">
        <w:rPr>
          <w:rFonts w:cs="Arial"/>
          <w:i w:val="0"/>
          <w:iCs/>
          <w:lang w:val="en-US"/>
        </w:rPr>
        <w:t xml:space="preserve">herefore, the </w:t>
      </w:r>
      <w:r w:rsidR="007E431A" w:rsidRPr="007464DA">
        <w:rPr>
          <w:rFonts w:cs="Arial"/>
          <w:i w:val="0"/>
          <w:iCs/>
          <w:lang w:val="en-US"/>
        </w:rPr>
        <w:t>t-ServiceStartNeigh</w:t>
      </w:r>
      <w:r w:rsidRPr="007464DA">
        <w:rPr>
          <w:rFonts w:cs="Arial"/>
          <w:i w:val="0"/>
          <w:iCs/>
          <w:lang w:val="en-US"/>
        </w:rPr>
        <w:t xml:space="preserve"> should be per neighbor cell.</w:t>
      </w:r>
    </w:p>
    <w:p w14:paraId="7505651A" w14:textId="63A55B21" w:rsidR="007E431A" w:rsidRPr="007E431A" w:rsidRDefault="007E431A" w:rsidP="007E431A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 xml:space="preserve">Proposal </w:t>
      </w:r>
      <w:r>
        <w:rPr>
          <w:rFonts w:ascii="Arial" w:hAnsi="Arial" w:cs="Arial"/>
          <w:b/>
          <w:bCs/>
          <w:lang w:val="en-US" w:eastAsia="ko-KR"/>
        </w:rPr>
        <w:t>2</w:t>
      </w:r>
      <w:r w:rsidRPr="00924AF3">
        <w:rPr>
          <w:rFonts w:ascii="Arial" w:hAnsi="Arial" w:cs="Arial"/>
          <w:b/>
          <w:bCs/>
          <w:lang w:val="en-US" w:eastAsia="ko-KR"/>
        </w:rPr>
        <w:t xml:space="preserve">: </w:t>
      </w:r>
      <w:r w:rsidRPr="007E431A">
        <w:rPr>
          <w:rFonts w:ascii="Arial" w:hAnsi="Arial" w:cs="Arial"/>
          <w:b/>
          <w:bCs/>
          <w:lang w:val="en-US" w:eastAsia="ko-KR"/>
        </w:rPr>
        <w:t>The t-</w:t>
      </w:r>
      <w:proofErr w:type="spellStart"/>
      <w:r w:rsidRPr="007E431A">
        <w:rPr>
          <w:rFonts w:ascii="Arial" w:hAnsi="Arial" w:cs="Arial"/>
          <w:b/>
          <w:bCs/>
          <w:lang w:val="en-US" w:eastAsia="ko-KR"/>
        </w:rPr>
        <w:t>ServiceStart</w:t>
      </w:r>
      <w:r>
        <w:rPr>
          <w:rFonts w:ascii="Arial" w:hAnsi="Arial" w:cs="Arial"/>
          <w:b/>
          <w:bCs/>
          <w:lang w:val="en-US" w:eastAsia="ko-KR"/>
        </w:rPr>
        <w:t>Neigh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for quasi-earth fixed neighbor cells should be per neighbor cell.</w:t>
      </w:r>
    </w:p>
    <w:p w14:paraId="26CA0569" w14:textId="15C33990" w:rsidR="007464DA" w:rsidRDefault="007464DA" w:rsidP="007464DA">
      <w:pPr>
        <w:pStyle w:val="Comments"/>
        <w:spacing w:after="180"/>
        <w:rPr>
          <w:rFonts w:cs="Arial"/>
          <w:i w:val="0"/>
          <w:iCs/>
          <w:lang w:val="en-US"/>
        </w:rPr>
      </w:pPr>
      <w:r w:rsidRPr="007464DA">
        <w:rPr>
          <w:rFonts w:cs="Arial"/>
          <w:i w:val="0"/>
          <w:iCs/>
          <w:lang w:val="en-US"/>
        </w:rPr>
        <w:t>In this case, considering the new SIB is not a list of neighbor cells but a list of satellites, the t-ServiceStar</w:t>
      </w:r>
      <w:r w:rsidR="007E431A">
        <w:rPr>
          <w:rFonts w:cs="Arial"/>
          <w:i w:val="0"/>
          <w:iCs/>
          <w:lang w:val="en-US"/>
        </w:rPr>
        <w:t>tNeigh</w:t>
      </w:r>
      <w:r w:rsidRPr="007464DA">
        <w:rPr>
          <w:rFonts w:cs="Arial"/>
          <w:i w:val="0"/>
          <w:iCs/>
          <w:lang w:val="en-US"/>
        </w:rPr>
        <w:t xml:space="preserve"> list for intra-frequency neighbor cells should be introduced in SIB</w:t>
      </w:r>
      <w:r w:rsidR="007E431A">
        <w:rPr>
          <w:rFonts w:cs="Arial"/>
          <w:i w:val="0"/>
          <w:iCs/>
          <w:lang w:val="en-US"/>
        </w:rPr>
        <w:t>4</w:t>
      </w:r>
      <w:r w:rsidRPr="007464DA">
        <w:rPr>
          <w:rFonts w:cs="Arial"/>
          <w:i w:val="0"/>
          <w:iCs/>
          <w:lang w:val="en-US"/>
        </w:rPr>
        <w:t xml:space="preserve"> and t-ServiceStart  list for inter-frequency neighbor cells should be introduced in SIB5.</w:t>
      </w:r>
    </w:p>
    <w:p w14:paraId="7D83FBA9" w14:textId="59A5F4AD" w:rsidR="007E431A" w:rsidRPr="007E431A" w:rsidRDefault="007E431A" w:rsidP="007E431A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 xml:space="preserve">Proposal </w:t>
      </w:r>
      <w:r>
        <w:rPr>
          <w:rFonts w:ascii="Arial" w:hAnsi="Arial" w:cs="Arial"/>
          <w:b/>
          <w:bCs/>
          <w:lang w:val="en-US" w:eastAsia="ko-KR"/>
        </w:rPr>
        <w:t>3</w:t>
      </w:r>
      <w:r w:rsidRPr="00924AF3">
        <w:rPr>
          <w:rFonts w:ascii="Arial" w:hAnsi="Arial" w:cs="Arial"/>
          <w:b/>
          <w:bCs/>
          <w:lang w:val="en-US" w:eastAsia="ko-KR"/>
        </w:rPr>
        <w:t xml:space="preserve">: </w:t>
      </w:r>
      <w:r w:rsidRPr="007E431A">
        <w:rPr>
          <w:rFonts w:ascii="Arial" w:hAnsi="Arial" w:cs="Arial"/>
          <w:b/>
          <w:bCs/>
          <w:lang w:val="en-US" w:eastAsia="ko-KR"/>
        </w:rPr>
        <w:t>The t-</w:t>
      </w:r>
      <w:proofErr w:type="spellStart"/>
      <w:r w:rsidR="008D1A37">
        <w:rPr>
          <w:rFonts w:ascii="Arial" w:hAnsi="Arial" w:cs="Arial"/>
          <w:b/>
          <w:bCs/>
          <w:lang w:val="en-US" w:eastAsia="ko-KR"/>
        </w:rPr>
        <w:t>S</w:t>
      </w:r>
      <w:r w:rsidRPr="007E431A">
        <w:rPr>
          <w:rFonts w:ascii="Arial" w:hAnsi="Arial" w:cs="Arial"/>
          <w:b/>
          <w:bCs/>
          <w:lang w:val="en-US" w:eastAsia="ko-KR"/>
        </w:rPr>
        <w:t>erviceStart</w:t>
      </w:r>
      <w:r>
        <w:rPr>
          <w:rFonts w:ascii="Arial" w:hAnsi="Arial" w:cs="Arial"/>
          <w:b/>
          <w:bCs/>
          <w:lang w:val="en-US" w:eastAsia="ko-KR"/>
        </w:rPr>
        <w:t>Neigh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</w:t>
      </w:r>
      <w:r>
        <w:rPr>
          <w:rFonts w:ascii="Arial" w:hAnsi="Arial" w:cs="Arial"/>
          <w:b/>
          <w:bCs/>
          <w:lang w:val="en-US" w:eastAsia="ko-KR"/>
        </w:rPr>
        <w:t xml:space="preserve">list </w:t>
      </w:r>
      <w:r w:rsidRPr="007E431A">
        <w:rPr>
          <w:rFonts w:ascii="Arial" w:hAnsi="Arial" w:cs="Arial"/>
          <w:b/>
          <w:bCs/>
          <w:lang w:val="en-US" w:eastAsia="ko-KR"/>
        </w:rPr>
        <w:t xml:space="preserve">for quasi-earth fixed neighbor cells </w:t>
      </w:r>
      <w:r w:rsidR="00172DE3">
        <w:rPr>
          <w:rFonts w:ascii="Arial" w:hAnsi="Arial" w:cs="Arial"/>
          <w:b/>
          <w:bCs/>
          <w:lang w:val="en-US" w:eastAsia="ko-KR"/>
        </w:rPr>
        <w:t>is</w:t>
      </w:r>
      <w:r>
        <w:rPr>
          <w:rFonts w:ascii="Arial" w:hAnsi="Arial" w:cs="Arial"/>
          <w:b/>
          <w:bCs/>
          <w:lang w:val="en-US" w:eastAsia="ko-KR"/>
        </w:rPr>
        <w:t xml:space="preserve"> provided in SIB4/SIB5.</w:t>
      </w:r>
    </w:p>
    <w:p w14:paraId="1D89A14B" w14:textId="2402F6F7" w:rsidR="006C2278" w:rsidRDefault="00910E31" w:rsidP="007B611E">
      <w:pPr>
        <w:pStyle w:val="Heading1"/>
        <w:rPr>
          <w:rFonts w:cs="Arial"/>
          <w:b/>
          <w:lang w:val="en-US" w:eastAsia="ko-KR"/>
        </w:rPr>
      </w:pPr>
      <w:r w:rsidRPr="00483E3F">
        <w:rPr>
          <w:rFonts w:cs="Arial"/>
          <w:b/>
          <w:lang w:val="en-US" w:eastAsia="ko-KR"/>
        </w:rPr>
        <w:t>3</w:t>
      </w:r>
      <w:r w:rsidR="00A21903" w:rsidRPr="00483E3F">
        <w:rPr>
          <w:rFonts w:cs="Arial"/>
          <w:b/>
          <w:lang w:val="en-US" w:eastAsia="ko-KR"/>
        </w:rPr>
        <w:t xml:space="preserve"> </w:t>
      </w:r>
      <w:r w:rsidR="007B611E" w:rsidRPr="00483E3F">
        <w:rPr>
          <w:rFonts w:cs="Arial"/>
          <w:b/>
          <w:lang w:val="en-US" w:eastAsia="ko-KR"/>
        </w:rPr>
        <w:t>Conclusions</w:t>
      </w:r>
    </w:p>
    <w:p w14:paraId="61897286" w14:textId="77777777" w:rsidR="00924AF3" w:rsidRPr="00924AF3" w:rsidRDefault="00924AF3" w:rsidP="00924AF3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>Proposal 1: For earth fixed and earth moving cell, serving cell reference location uses the Rel-17 footprint IE (i.e. referencePoint-r17 and radius-r17)</w:t>
      </w:r>
    </w:p>
    <w:p w14:paraId="0B1C84B6" w14:textId="77777777" w:rsidR="004537C4" w:rsidRPr="007E431A" w:rsidRDefault="004537C4" w:rsidP="004537C4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 xml:space="preserve">Proposal </w:t>
      </w:r>
      <w:r>
        <w:rPr>
          <w:rFonts w:ascii="Arial" w:hAnsi="Arial" w:cs="Arial"/>
          <w:b/>
          <w:bCs/>
          <w:lang w:val="en-US" w:eastAsia="ko-KR"/>
        </w:rPr>
        <w:t>2</w:t>
      </w:r>
      <w:r w:rsidRPr="00924AF3">
        <w:rPr>
          <w:rFonts w:ascii="Arial" w:hAnsi="Arial" w:cs="Arial"/>
          <w:b/>
          <w:bCs/>
          <w:lang w:val="en-US" w:eastAsia="ko-KR"/>
        </w:rPr>
        <w:t xml:space="preserve">: </w:t>
      </w:r>
      <w:r w:rsidRPr="007E431A">
        <w:rPr>
          <w:rFonts w:ascii="Arial" w:hAnsi="Arial" w:cs="Arial"/>
          <w:b/>
          <w:bCs/>
          <w:lang w:val="en-US" w:eastAsia="ko-KR"/>
        </w:rPr>
        <w:t>The t-</w:t>
      </w:r>
      <w:proofErr w:type="spellStart"/>
      <w:r w:rsidRPr="007E431A">
        <w:rPr>
          <w:rFonts w:ascii="Arial" w:hAnsi="Arial" w:cs="Arial"/>
          <w:b/>
          <w:bCs/>
          <w:lang w:val="en-US" w:eastAsia="ko-KR"/>
        </w:rPr>
        <w:t>ServiceStart</w:t>
      </w:r>
      <w:r>
        <w:rPr>
          <w:rFonts w:ascii="Arial" w:hAnsi="Arial" w:cs="Arial"/>
          <w:b/>
          <w:bCs/>
          <w:lang w:val="en-US" w:eastAsia="ko-KR"/>
        </w:rPr>
        <w:t>Neigh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for quasi-earth fixed </w:t>
      </w:r>
      <w:proofErr w:type="spellStart"/>
      <w:r w:rsidRPr="007E431A">
        <w:rPr>
          <w:rFonts w:ascii="Arial" w:hAnsi="Arial" w:cs="Arial"/>
          <w:b/>
          <w:bCs/>
          <w:lang w:val="en-US" w:eastAsia="ko-KR"/>
        </w:rPr>
        <w:t>neighbour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cells should be per </w:t>
      </w:r>
      <w:proofErr w:type="spellStart"/>
      <w:r w:rsidRPr="007E431A">
        <w:rPr>
          <w:rFonts w:ascii="Arial" w:hAnsi="Arial" w:cs="Arial"/>
          <w:b/>
          <w:bCs/>
          <w:lang w:val="en-US" w:eastAsia="ko-KR"/>
        </w:rPr>
        <w:t>neighbour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cell.</w:t>
      </w:r>
    </w:p>
    <w:p w14:paraId="2C50FC8E" w14:textId="741207FC" w:rsidR="004537C4" w:rsidRPr="007E431A" w:rsidRDefault="004537C4" w:rsidP="004537C4">
      <w:pPr>
        <w:rPr>
          <w:rFonts w:ascii="Arial" w:hAnsi="Arial" w:cs="Arial"/>
          <w:b/>
          <w:bCs/>
          <w:lang w:val="en-US" w:eastAsia="ko-KR"/>
        </w:rPr>
      </w:pPr>
      <w:r w:rsidRPr="00924AF3">
        <w:rPr>
          <w:rFonts w:ascii="Arial" w:hAnsi="Arial" w:cs="Arial"/>
          <w:b/>
          <w:bCs/>
          <w:lang w:val="en-US" w:eastAsia="ko-KR"/>
        </w:rPr>
        <w:t xml:space="preserve">Proposal </w:t>
      </w:r>
      <w:r>
        <w:rPr>
          <w:rFonts w:ascii="Arial" w:hAnsi="Arial" w:cs="Arial"/>
          <w:b/>
          <w:bCs/>
          <w:lang w:val="en-US" w:eastAsia="ko-KR"/>
        </w:rPr>
        <w:t>3</w:t>
      </w:r>
      <w:r w:rsidRPr="00924AF3">
        <w:rPr>
          <w:rFonts w:ascii="Arial" w:hAnsi="Arial" w:cs="Arial"/>
          <w:b/>
          <w:bCs/>
          <w:lang w:val="en-US" w:eastAsia="ko-KR"/>
        </w:rPr>
        <w:t xml:space="preserve">: </w:t>
      </w:r>
      <w:r w:rsidRPr="007E431A">
        <w:rPr>
          <w:rFonts w:ascii="Arial" w:hAnsi="Arial" w:cs="Arial"/>
          <w:b/>
          <w:bCs/>
          <w:lang w:val="en-US" w:eastAsia="ko-KR"/>
        </w:rPr>
        <w:t>The t-</w:t>
      </w:r>
      <w:proofErr w:type="spellStart"/>
      <w:r w:rsidR="008D1A37">
        <w:rPr>
          <w:rFonts w:ascii="Arial" w:hAnsi="Arial" w:cs="Arial"/>
          <w:b/>
          <w:bCs/>
          <w:lang w:val="en-US" w:eastAsia="ko-KR"/>
        </w:rPr>
        <w:t>S</w:t>
      </w:r>
      <w:r w:rsidRPr="007E431A">
        <w:rPr>
          <w:rFonts w:ascii="Arial" w:hAnsi="Arial" w:cs="Arial"/>
          <w:b/>
          <w:bCs/>
          <w:lang w:val="en-US" w:eastAsia="ko-KR"/>
        </w:rPr>
        <w:t>erviceStart</w:t>
      </w:r>
      <w:r>
        <w:rPr>
          <w:rFonts w:ascii="Arial" w:hAnsi="Arial" w:cs="Arial"/>
          <w:b/>
          <w:bCs/>
          <w:lang w:val="en-US" w:eastAsia="ko-KR"/>
        </w:rPr>
        <w:t>Neigh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</w:t>
      </w:r>
      <w:r>
        <w:rPr>
          <w:rFonts w:ascii="Arial" w:hAnsi="Arial" w:cs="Arial"/>
          <w:b/>
          <w:bCs/>
          <w:lang w:val="en-US" w:eastAsia="ko-KR"/>
        </w:rPr>
        <w:t xml:space="preserve">list </w:t>
      </w:r>
      <w:r w:rsidRPr="007E431A">
        <w:rPr>
          <w:rFonts w:ascii="Arial" w:hAnsi="Arial" w:cs="Arial"/>
          <w:b/>
          <w:bCs/>
          <w:lang w:val="en-US" w:eastAsia="ko-KR"/>
        </w:rPr>
        <w:t xml:space="preserve">for quasi-earth fixed </w:t>
      </w:r>
      <w:proofErr w:type="spellStart"/>
      <w:r w:rsidRPr="007E431A">
        <w:rPr>
          <w:rFonts w:ascii="Arial" w:hAnsi="Arial" w:cs="Arial"/>
          <w:b/>
          <w:bCs/>
          <w:lang w:val="en-US" w:eastAsia="ko-KR"/>
        </w:rPr>
        <w:t>neighbour</w:t>
      </w:r>
      <w:proofErr w:type="spellEnd"/>
      <w:r w:rsidRPr="007E431A">
        <w:rPr>
          <w:rFonts w:ascii="Arial" w:hAnsi="Arial" w:cs="Arial"/>
          <w:b/>
          <w:bCs/>
          <w:lang w:val="en-US" w:eastAsia="ko-KR"/>
        </w:rPr>
        <w:t xml:space="preserve"> cells </w:t>
      </w:r>
      <w:r w:rsidR="00172DE3">
        <w:rPr>
          <w:rFonts w:ascii="Arial" w:hAnsi="Arial" w:cs="Arial"/>
          <w:b/>
          <w:bCs/>
          <w:lang w:val="en-US" w:eastAsia="ko-KR"/>
        </w:rPr>
        <w:t>is</w:t>
      </w:r>
      <w:r>
        <w:rPr>
          <w:rFonts w:ascii="Arial" w:hAnsi="Arial" w:cs="Arial"/>
          <w:b/>
          <w:bCs/>
          <w:lang w:val="en-US" w:eastAsia="ko-KR"/>
        </w:rPr>
        <w:t xml:space="preserve"> provided in SIB4/SIB5.</w:t>
      </w:r>
    </w:p>
    <w:p w14:paraId="54159F23" w14:textId="14611DD1" w:rsidR="00EF622C" w:rsidRPr="00483E3F" w:rsidRDefault="00910E31" w:rsidP="00F54927">
      <w:pPr>
        <w:pStyle w:val="Heading1"/>
        <w:pBdr>
          <w:top w:val="single" w:sz="12" w:space="0" w:color="auto"/>
        </w:pBdr>
        <w:rPr>
          <w:rFonts w:cs="Arial"/>
          <w:lang w:val="en-US" w:eastAsia="ko-KR"/>
        </w:rPr>
      </w:pPr>
      <w:r w:rsidRPr="00483E3F">
        <w:rPr>
          <w:rFonts w:cs="Arial"/>
          <w:lang w:eastAsia="ko-KR"/>
        </w:rPr>
        <w:lastRenderedPageBreak/>
        <w:t>4</w:t>
      </w:r>
      <w:r w:rsidR="00EF622C" w:rsidRPr="00483E3F">
        <w:rPr>
          <w:rFonts w:cs="Arial"/>
          <w:lang w:val="en-US" w:eastAsia="ko-KR"/>
        </w:rPr>
        <w:t xml:space="preserve"> References</w:t>
      </w:r>
    </w:p>
    <w:p w14:paraId="2F1BC7F4" w14:textId="77777777" w:rsidR="00CF3106" w:rsidRPr="00483E3F" w:rsidRDefault="00CF3106" w:rsidP="00CF3106">
      <w:pPr>
        <w:rPr>
          <w:rFonts w:ascii="Arial" w:hAnsi="Arial" w:cs="Arial"/>
          <w:lang w:val="en-US" w:eastAsia="ko-KR"/>
        </w:rPr>
      </w:pPr>
    </w:p>
    <w:sectPr w:rsidR="00CF3106" w:rsidRPr="00483E3F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B317F" w14:textId="77777777" w:rsidR="00720A0D" w:rsidRDefault="00720A0D">
      <w:r>
        <w:separator/>
      </w:r>
    </w:p>
  </w:endnote>
  <w:endnote w:type="continuationSeparator" w:id="0">
    <w:p w14:paraId="5FDC0325" w14:textId="77777777" w:rsidR="00720A0D" w:rsidRDefault="0072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6C2D" w14:textId="77777777" w:rsidR="00720A0D" w:rsidRDefault="00720A0D">
      <w:r>
        <w:separator/>
      </w:r>
    </w:p>
  </w:footnote>
  <w:footnote w:type="continuationSeparator" w:id="0">
    <w:p w14:paraId="3523251D" w14:textId="77777777" w:rsidR="00720A0D" w:rsidRDefault="00720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6D40B0"/>
    <w:multiLevelType w:val="hybridMultilevel"/>
    <w:tmpl w:val="E102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E1ED2"/>
    <w:multiLevelType w:val="hybridMultilevel"/>
    <w:tmpl w:val="BC801504"/>
    <w:lvl w:ilvl="0" w:tplc="CAB40364">
      <w:start w:val="1"/>
      <w:numFmt w:val="bullet"/>
      <w:lvlText w:val="‐"/>
      <w:lvlJc w:val="left"/>
      <w:pPr>
        <w:ind w:left="644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46C83"/>
    <w:multiLevelType w:val="hybridMultilevel"/>
    <w:tmpl w:val="AF0862DA"/>
    <w:lvl w:ilvl="0" w:tplc="725CAE7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967108"/>
    <w:multiLevelType w:val="hybridMultilevel"/>
    <w:tmpl w:val="09988744"/>
    <w:lvl w:ilvl="0" w:tplc="0409000F">
      <w:start w:val="1"/>
      <w:numFmt w:val="decimal"/>
      <w:lvlText w:val="%1."/>
      <w:lvlJc w:val="left"/>
      <w:pPr>
        <w:ind w:left="1078" w:hanging="420"/>
      </w:pPr>
    </w:lvl>
    <w:lvl w:ilvl="1" w:tplc="04090019" w:tentative="1">
      <w:start w:val="1"/>
      <w:numFmt w:val="lowerLetter"/>
      <w:lvlText w:val="%2)"/>
      <w:lvlJc w:val="left"/>
      <w:pPr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ind w:left="4438" w:hanging="420"/>
      </w:pPr>
    </w:lvl>
  </w:abstractNum>
  <w:abstractNum w:abstractNumId="20" w15:restartNumberingAfterBreak="0">
    <w:nsid w:val="58086632"/>
    <w:multiLevelType w:val="hybridMultilevel"/>
    <w:tmpl w:val="5860B424"/>
    <w:lvl w:ilvl="0" w:tplc="8BF49FC8">
      <w:start w:val="1"/>
      <w:numFmt w:val="decimal"/>
      <w:lvlText w:val="%1."/>
      <w:lvlJc w:val="left"/>
      <w:pPr>
        <w:ind w:left="1496" w:hanging="360"/>
      </w:pPr>
    </w:lvl>
    <w:lvl w:ilvl="1" w:tplc="04090019">
      <w:start w:val="1"/>
      <w:numFmt w:val="lowerLetter"/>
      <w:lvlText w:val="%2."/>
      <w:lvlJc w:val="left"/>
      <w:pPr>
        <w:ind w:left="2216" w:hanging="360"/>
      </w:pPr>
    </w:lvl>
    <w:lvl w:ilvl="2" w:tplc="0409001B">
      <w:start w:val="1"/>
      <w:numFmt w:val="lowerRoman"/>
      <w:lvlText w:val="%3."/>
      <w:lvlJc w:val="right"/>
      <w:pPr>
        <w:ind w:left="2936" w:hanging="180"/>
      </w:pPr>
    </w:lvl>
    <w:lvl w:ilvl="3" w:tplc="0409000F">
      <w:start w:val="1"/>
      <w:numFmt w:val="decimal"/>
      <w:lvlText w:val="%4."/>
      <w:lvlJc w:val="left"/>
      <w:pPr>
        <w:ind w:left="3656" w:hanging="360"/>
      </w:pPr>
    </w:lvl>
    <w:lvl w:ilvl="4" w:tplc="04090019">
      <w:start w:val="1"/>
      <w:numFmt w:val="lowerLetter"/>
      <w:lvlText w:val="%5."/>
      <w:lvlJc w:val="left"/>
      <w:pPr>
        <w:ind w:left="4376" w:hanging="360"/>
      </w:pPr>
    </w:lvl>
    <w:lvl w:ilvl="5" w:tplc="0409001B">
      <w:start w:val="1"/>
      <w:numFmt w:val="lowerRoman"/>
      <w:lvlText w:val="%6."/>
      <w:lvlJc w:val="right"/>
      <w:pPr>
        <w:ind w:left="5096" w:hanging="180"/>
      </w:pPr>
    </w:lvl>
    <w:lvl w:ilvl="6" w:tplc="0409000F">
      <w:start w:val="1"/>
      <w:numFmt w:val="decimal"/>
      <w:lvlText w:val="%7."/>
      <w:lvlJc w:val="left"/>
      <w:pPr>
        <w:ind w:left="5816" w:hanging="360"/>
      </w:pPr>
    </w:lvl>
    <w:lvl w:ilvl="7" w:tplc="04090019">
      <w:start w:val="1"/>
      <w:numFmt w:val="lowerLetter"/>
      <w:lvlText w:val="%8."/>
      <w:lvlJc w:val="left"/>
      <w:pPr>
        <w:ind w:left="6536" w:hanging="360"/>
      </w:pPr>
    </w:lvl>
    <w:lvl w:ilvl="8" w:tplc="0409001B">
      <w:start w:val="1"/>
      <w:numFmt w:val="lowerRoman"/>
      <w:lvlText w:val="%9."/>
      <w:lvlJc w:val="right"/>
      <w:pPr>
        <w:ind w:left="7256" w:hanging="180"/>
      </w:pPr>
    </w:lvl>
  </w:abstractNum>
  <w:abstractNum w:abstractNumId="21" w15:restartNumberingAfterBreak="0">
    <w:nsid w:val="5D085408"/>
    <w:multiLevelType w:val="hybridMultilevel"/>
    <w:tmpl w:val="D1064E5E"/>
    <w:lvl w:ilvl="0" w:tplc="1AB62DC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2090AA3"/>
    <w:multiLevelType w:val="hybridMultilevel"/>
    <w:tmpl w:val="91CE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769653">
    <w:abstractNumId w:val="7"/>
  </w:num>
  <w:num w:numId="2" w16cid:durableId="1663583004">
    <w:abstractNumId w:val="0"/>
  </w:num>
  <w:num w:numId="3" w16cid:durableId="1609267221">
    <w:abstractNumId w:val="15"/>
  </w:num>
  <w:num w:numId="4" w16cid:durableId="547423683">
    <w:abstractNumId w:val="17"/>
  </w:num>
  <w:num w:numId="5" w16cid:durableId="232815947">
    <w:abstractNumId w:val="2"/>
  </w:num>
  <w:num w:numId="6" w16cid:durableId="1944144393">
    <w:abstractNumId w:val="1"/>
  </w:num>
  <w:num w:numId="7" w16cid:durableId="1005522674">
    <w:abstractNumId w:val="13"/>
  </w:num>
  <w:num w:numId="8" w16cid:durableId="1298561474">
    <w:abstractNumId w:val="25"/>
  </w:num>
  <w:num w:numId="9" w16cid:durableId="616332936">
    <w:abstractNumId w:val="5"/>
  </w:num>
  <w:num w:numId="10" w16cid:durableId="1603756515">
    <w:abstractNumId w:val="28"/>
  </w:num>
  <w:num w:numId="11" w16cid:durableId="1871145296">
    <w:abstractNumId w:val="29"/>
  </w:num>
  <w:num w:numId="12" w16cid:durableId="1230073335">
    <w:abstractNumId w:val="11"/>
  </w:num>
  <w:num w:numId="13" w16cid:durableId="233929574">
    <w:abstractNumId w:val="24"/>
  </w:num>
  <w:num w:numId="14" w16cid:durableId="978195245">
    <w:abstractNumId w:val="18"/>
  </w:num>
  <w:num w:numId="15" w16cid:durableId="227037616">
    <w:abstractNumId w:val="6"/>
  </w:num>
  <w:num w:numId="16" w16cid:durableId="1710840770">
    <w:abstractNumId w:val="14"/>
  </w:num>
  <w:num w:numId="17" w16cid:durableId="900595963">
    <w:abstractNumId w:val="16"/>
  </w:num>
  <w:num w:numId="18" w16cid:durableId="1040398012">
    <w:abstractNumId w:val="22"/>
  </w:num>
  <w:num w:numId="19" w16cid:durableId="257061393">
    <w:abstractNumId w:val="30"/>
  </w:num>
  <w:num w:numId="20" w16cid:durableId="1846050102">
    <w:abstractNumId w:val="23"/>
  </w:num>
  <w:num w:numId="21" w16cid:durableId="278730459">
    <w:abstractNumId w:val="26"/>
  </w:num>
  <w:num w:numId="22" w16cid:durableId="677659631">
    <w:abstractNumId w:val="4"/>
  </w:num>
  <w:num w:numId="23" w16cid:durableId="1677536248">
    <w:abstractNumId w:val="27"/>
  </w:num>
  <w:num w:numId="24" w16cid:durableId="1434591497">
    <w:abstractNumId w:val="9"/>
  </w:num>
  <w:num w:numId="25" w16cid:durableId="1244144972">
    <w:abstractNumId w:val="10"/>
  </w:num>
  <w:num w:numId="26" w16cid:durableId="1198540323">
    <w:abstractNumId w:val="3"/>
  </w:num>
  <w:num w:numId="27" w16cid:durableId="950577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3715610">
    <w:abstractNumId w:val="19"/>
  </w:num>
  <w:num w:numId="29" w16cid:durableId="1509366497">
    <w:abstractNumId w:val="21"/>
  </w:num>
  <w:num w:numId="30" w16cid:durableId="15724229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349167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505D"/>
    <w:rsid w:val="00005C91"/>
    <w:rsid w:val="00007E67"/>
    <w:rsid w:val="00007FCB"/>
    <w:rsid w:val="0001209C"/>
    <w:rsid w:val="0001240B"/>
    <w:rsid w:val="00012712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ABA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6BBF"/>
    <w:rsid w:val="0005765C"/>
    <w:rsid w:val="00057E1E"/>
    <w:rsid w:val="00060853"/>
    <w:rsid w:val="000616F5"/>
    <w:rsid w:val="000617F2"/>
    <w:rsid w:val="0006197D"/>
    <w:rsid w:val="00062934"/>
    <w:rsid w:val="000637FC"/>
    <w:rsid w:val="00064FFD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D1A"/>
    <w:rsid w:val="00084768"/>
    <w:rsid w:val="00084830"/>
    <w:rsid w:val="0008494B"/>
    <w:rsid w:val="00084B3B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1AB0"/>
    <w:rsid w:val="000B2264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1299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57C"/>
    <w:rsid w:val="00131DAB"/>
    <w:rsid w:val="0013385F"/>
    <w:rsid w:val="00134990"/>
    <w:rsid w:val="00136A8A"/>
    <w:rsid w:val="00137D8D"/>
    <w:rsid w:val="00140924"/>
    <w:rsid w:val="001421C7"/>
    <w:rsid w:val="0014245C"/>
    <w:rsid w:val="0014328B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15C4"/>
    <w:rsid w:val="00163241"/>
    <w:rsid w:val="00167588"/>
    <w:rsid w:val="00167FC4"/>
    <w:rsid w:val="00172DE3"/>
    <w:rsid w:val="00172F10"/>
    <w:rsid w:val="00173394"/>
    <w:rsid w:val="00173FA7"/>
    <w:rsid w:val="00176899"/>
    <w:rsid w:val="00176C99"/>
    <w:rsid w:val="00176D07"/>
    <w:rsid w:val="00180E1D"/>
    <w:rsid w:val="00182D11"/>
    <w:rsid w:val="00183903"/>
    <w:rsid w:val="00184D44"/>
    <w:rsid w:val="00184F44"/>
    <w:rsid w:val="00186027"/>
    <w:rsid w:val="001861C3"/>
    <w:rsid w:val="001912AE"/>
    <w:rsid w:val="00191FD3"/>
    <w:rsid w:val="00192732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666"/>
    <w:rsid w:val="001A592D"/>
    <w:rsid w:val="001A6321"/>
    <w:rsid w:val="001A6F32"/>
    <w:rsid w:val="001A7884"/>
    <w:rsid w:val="001A78C1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39BD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0C04"/>
    <w:rsid w:val="001D14B9"/>
    <w:rsid w:val="001D18C0"/>
    <w:rsid w:val="001D1C03"/>
    <w:rsid w:val="001D74C5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00A"/>
    <w:rsid w:val="0020191F"/>
    <w:rsid w:val="002030CF"/>
    <w:rsid w:val="00203ECF"/>
    <w:rsid w:val="00204404"/>
    <w:rsid w:val="00204ACF"/>
    <w:rsid w:val="00206576"/>
    <w:rsid w:val="00207FDC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853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117"/>
    <w:rsid w:val="00236310"/>
    <w:rsid w:val="002402B1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3FE6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6483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2F33F5"/>
    <w:rsid w:val="00303AA0"/>
    <w:rsid w:val="00304023"/>
    <w:rsid w:val="00307FD9"/>
    <w:rsid w:val="003118A6"/>
    <w:rsid w:val="003134E9"/>
    <w:rsid w:val="00313F90"/>
    <w:rsid w:val="00316B20"/>
    <w:rsid w:val="003176AE"/>
    <w:rsid w:val="003226BA"/>
    <w:rsid w:val="003228DD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329"/>
    <w:rsid w:val="00334D18"/>
    <w:rsid w:val="00334E11"/>
    <w:rsid w:val="00335150"/>
    <w:rsid w:val="0033524A"/>
    <w:rsid w:val="0033559B"/>
    <w:rsid w:val="00335874"/>
    <w:rsid w:val="003358FA"/>
    <w:rsid w:val="00340160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48DB"/>
    <w:rsid w:val="00355BEA"/>
    <w:rsid w:val="00355D0B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C7984"/>
    <w:rsid w:val="003D07D5"/>
    <w:rsid w:val="003D33CB"/>
    <w:rsid w:val="003D3512"/>
    <w:rsid w:val="003D4543"/>
    <w:rsid w:val="003D4B34"/>
    <w:rsid w:val="003D5A11"/>
    <w:rsid w:val="003D6453"/>
    <w:rsid w:val="003D66AF"/>
    <w:rsid w:val="003D6F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36A4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001"/>
    <w:rsid w:val="00452B50"/>
    <w:rsid w:val="00452FA4"/>
    <w:rsid w:val="0045306C"/>
    <w:rsid w:val="004537C4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3E3F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5B2"/>
    <w:rsid w:val="004966C7"/>
    <w:rsid w:val="00496DC9"/>
    <w:rsid w:val="004A194F"/>
    <w:rsid w:val="004A1EEF"/>
    <w:rsid w:val="004A2EB4"/>
    <w:rsid w:val="004A3C87"/>
    <w:rsid w:val="004A49BB"/>
    <w:rsid w:val="004A60EB"/>
    <w:rsid w:val="004A72B1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D82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6177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880"/>
    <w:rsid w:val="00530958"/>
    <w:rsid w:val="005319AD"/>
    <w:rsid w:val="00533164"/>
    <w:rsid w:val="00534359"/>
    <w:rsid w:val="00534864"/>
    <w:rsid w:val="005365D7"/>
    <w:rsid w:val="00537CEF"/>
    <w:rsid w:val="00537FCB"/>
    <w:rsid w:val="0054099C"/>
    <w:rsid w:val="00540F93"/>
    <w:rsid w:val="00542904"/>
    <w:rsid w:val="00543D4E"/>
    <w:rsid w:val="0054501D"/>
    <w:rsid w:val="0054779C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57E40"/>
    <w:rsid w:val="00560743"/>
    <w:rsid w:val="005629F7"/>
    <w:rsid w:val="00562CAE"/>
    <w:rsid w:val="005654FC"/>
    <w:rsid w:val="005658C7"/>
    <w:rsid w:val="00565F5F"/>
    <w:rsid w:val="00565F8C"/>
    <w:rsid w:val="0056645F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BBB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4927"/>
    <w:rsid w:val="00595051"/>
    <w:rsid w:val="005950A4"/>
    <w:rsid w:val="0059660C"/>
    <w:rsid w:val="0059688F"/>
    <w:rsid w:val="00596FC1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50D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BD4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232"/>
    <w:rsid w:val="006025F1"/>
    <w:rsid w:val="00602909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5BDD"/>
    <w:rsid w:val="0061611C"/>
    <w:rsid w:val="006174BE"/>
    <w:rsid w:val="006202B1"/>
    <w:rsid w:val="00620C5D"/>
    <w:rsid w:val="006210F8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1056"/>
    <w:rsid w:val="00642EB1"/>
    <w:rsid w:val="006435BF"/>
    <w:rsid w:val="00644560"/>
    <w:rsid w:val="00644959"/>
    <w:rsid w:val="0064513E"/>
    <w:rsid w:val="006463B2"/>
    <w:rsid w:val="00647DE4"/>
    <w:rsid w:val="00650EFB"/>
    <w:rsid w:val="006522B8"/>
    <w:rsid w:val="00653807"/>
    <w:rsid w:val="006546EA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4F4E"/>
    <w:rsid w:val="00666CF0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77932"/>
    <w:rsid w:val="00681A2D"/>
    <w:rsid w:val="00681EE2"/>
    <w:rsid w:val="006823D5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2AC9"/>
    <w:rsid w:val="00713901"/>
    <w:rsid w:val="00713A04"/>
    <w:rsid w:val="00713F66"/>
    <w:rsid w:val="00714A76"/>
    <w:rsid w:val="00715388"/>
    <w:rsid w:val="00716CBB"/>
    <w:rsid w:val="00716E97"/>
    <w:rsid w:val="007174A4"/>
    <w:rsid w:val="00717F78"/>
    <w:rsid w:val="0072058C"/>
    <w:rsid w:val="00720A0D"/>
    <w:rsid w:val="00720A84"/>
    <w:rsid w:val="00720C8A"/>
    <w:rsid w:val="00721B24"/>
    <w:rsid w:val="00722477"/>
    <w:rsid w:val="00722D00"/>
    <w:rsid w:val="00722D3E"/>
    <w:rsid w:val="00723B33"/>
    <w:rsid w:val="00723B8B"/>
    <w:rsid w:val="007241F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2F5"/>
    <w:rsid w:val="007409C8"/>
    <w:rsid w:val="00741425"/>
    <w:rsid w:val="00741E86"/>
    <w:rsid w:val="007421B2"/>
    <w:rsid w:val="00742BF6"/>
    <w:rsid w:val="00743674"/>
    <w:rsid w:val="00745942"/>
    <w:rsid w:val="00745BE6"/>
    <w:rsid w:val="007464DA"/>
    <w:rsid w:val="007515FC"/>
    <w:rsid w:val="007517F0"/>
    <w:rsid w:val="0075301B"/>
    <w:rsid w:val="00753622"/>
    <w:rsid w:val="0075370C"/>
    <w:rsid w:val="0075461B"/>
    <w:rsid w:val="00754CCC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6992"/>
    <w:rsid w:val="007973E8"/>
    <w:rsid w:val="00797469"/>
    <w:rsid w:val="00797CE0"/>
    <w:rsid w:val="007A017F"/>
    <w:rsid w:val="007A04B9"/>
    <w:rsid w:val="007A182F"/>
    <w:rsid w:val="007A1A3C"/>
    <w:rsid w:val="007A1C2B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31D"/>
    <w:rsid w:val="007B3A67"/>
    <w:rsid w:val="007B3C2D"/>
    <w:rsid w:val="007B4C9A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21E8"/>
    <w:rsid w:val="007E313B"/>
    <w:rsid w:val="007E431A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0627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020C"/>
    <w:rsid w:val="008617DE"/>
    <w:rsid w:val="00861C41"/>
    <w:rsid w:val="008626E7"/>
    <w:rsid w:val="00864B5D"/>
    <w:rsid w:val="00864C6C"/>
    <w:rsid w:val="008653D7"/>
    <w:rsid w:val="008659D0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1135"/>
    <w:rsid w:val="008A27A5"/>
    <w:rsid w:val="008A2876"/>
    <w:rsid w:val="008A3280"/>
    <w:rsid w:val="008A3D06"/>
    <w:rsid w:val="008A3DB4"/>
    <w:rsid w:val="008A50DD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1A37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4BF4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AF3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52BD"/>
    <w:rsid w:val="00955380"/>
    <w:rsid w:val="0095602D"/>
    <w:rsid w:val="0095621F"/>
    <w:rsid w:val="0095665F"/>
    <w:rsid w:val="00957B2B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117"/>
    <w:rsid w:val="00983C79"/>
    <w:rsid w:val="00985FC2"/>
    <w:rsid w:val="00986859"/>
    <w:rsid w:val="0098749A"/>
    <w:rsid w:val="009908B4"/>
    <w:rsid w:val="00991B88"/>
    <w:rsid w:val="00992F4A"/>
    <w:rsid w:val="0099340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824"/>
    <w:rsid w:val="009D5E97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54A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611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50DF"/>
    <w:rsid w:val="00A45F00"/>
    <w:rsid w:val="00A47E70"/>
    <w:rsid w:val="00A505FA"/>
    <w:rsid w:val="00A51A91"/>
    <w:rsid w:val="00A52551"/>
    <w:rsid w:val="00A53EF7"/>
    <w:rsid w:val="00A540C6"/>
    <w:rsid w:val="00A54BED"/>
    <w:rsid w:val="00A54D9B"/>
    <w:rsid w:val="00A5517A"/>
    <w:rsid w:val="00A55B59"/>
    <w:rsid w:val="00A5639D"/>
    <w:rsid w:val="00A6194C"/>
    <w:rsid w:val="00A62834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423A"/>
    <w:rsid w:val="00A84A2A"/>
    <w:rsid w:val="00A86CBE"/>
    <w:rsid w:val="00A877CF"/>
    <w:rsid w:val="00A90726"/>
    <w:rsid w:val="00A9073E"/>
    <w:rsid w:val="00A9163B"/>
    <w:rsid w:val="00A936CB"/>
    <w:rsid w:val="00A93A24"/>
    <w:rsid w:val="00A94292"/>
    <w:rsid w:val="00A95F19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0999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E7A"/>
    <w:rsid w:val="00AD30A8"/>
    <w:rsid w:val="00AD33BA"/>
    <w:rsid w:val="00AD5472"/>
    <w:rsid w:val="00AD6A49"/>
    <w:rsid w:val="00AD74BE"/>
    <w:rsid w:val="00AD7896"/>
    <w:rsid w:val="00AE0ABA"/>
    <w:rsid w:val="00AE0C06"/>
    <w:rsid w:val="00AE19FA"/>
    <w:rsid w:val="00AE1EAB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1DE"/>
    <w:rsid w:val="00AF1FAF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3271"/>
    <w:rsid w:val="00B7336C"/>
    <w:rsid w:val="00B7567D"/>
    <w:rsid w:val="00B765AD"/>
    <w:rsid w:val="00B76647"/>
    <w:rsid w:val="00B769AB"/>
    <w:rsid w:val="00B76F8F"/>
    <w:rsid w:val="00B772FE"/>
    <w:rsid w:val="00B774E9"/>
    <w:rsid w:val="00B776FE"/>
    <w:rsid w:val="00B81D26"/>
    <w:rsid w:val="00B82348"/>
    <w:rsid w:val="00B848FF"/>
    <w:rsid w:val="00B85082"/>
    <w:rsid w:val="00B86AFA"/>
    <w:rsid w:val="00B90075"/>
    <w:rsid w:val="00B90264"/>
    <w:rsid w:val="00B902E7"/>
    <w:rsid w:val="00B90A51"/>
    <w:rsid w:val="00B913AA"/>
    <w:rsid w:val="00B92202"/>
    <w:rsid w:val="00B9230C"/>
    <w:rsid w:val="00B92E54"/>
    <w:rsid w:val="00B93513"/>
    <w:rsid w:val="00B94DDE"/>
    <w:rsid w:val="00B952A6"/>
    <w:rsid w:val="00B95866"/>
    <w:rsid w:val="00B9731A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A766F"/>
    <w:rsid w:val="00BB1A1E"/>
    <w:rsid w:val="00BB20CB"/>
    <w:rsid w:val="00BB2958"/>
    <w:rsid w:val="00BB2FC2"/>
    <w:rsid w:val="00BB317F"/>
    <w:rsid w:val="00BB3288"/>
    <w:rsid w:val="00BB4EA9"/>
    <w:rsid w:val="00BB5070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1B5D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C5A"/>
    <w:rsid w:val="00C13FA5"/>
    <w:rsid w:val="00C14566"/>
    <w:rsid w:val="00C14AEC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9CD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7180"/>
    <w:rsid w:val="00C476E7"/>
    <w:rsid w:val="00C47C06"/>
    <w:rsid w:val="00C510C3"/>
    <w:rsid w:val="00C51DD1"/>
    <w:rsid w:val="00C51F11"/>
    <w:rsid w:val="00C52358"/>
    <w:rsid w:val="00C52CF5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1C94"/>
    <w:rsid w:val="00C820FE"/>
    <w:rsid w:val="00C821E1"/>
    <w:rsid w:val="00C82F81"/>
    <w:rsid w:val="00C85274"/>
    <w:rsid w:val="00C85F05"/>
    <w:rsid w:val="00C8663E"/>
    <w:rsid w:val="00C867CF"/>
    <w:rsid w:val="00C86B9A"/>
    <w:rsid w:val="00C8796E"/>
    <w:rsid w:val="00C87E49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66DF"/>
    <w:rsid w:val="00CC0600"/>
    <w:rsid w:val="00CC215C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5DD7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1BC2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661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4D17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64EC"/>
    <w:rsid w:val="00D470D5"/>
    <w:rsid w:val="00D47213"/>
    <w:rsid w:val="00D50252"/>
    <w:rsid w:val="00D50345"/>
    <w:rsid w:val="00D5139C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09B3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19B1"/>
    <w:rsid w:val="00D834F9"/>
    <w:rsid w:val="00D845F3"/>
    <w:rsid w:val="00D87131"/>
    <w:rsid w:val="00D8737F"/>
    <w:rsid w:val="00D875C5"/>
    <w:rsid w:val="00D90440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A6F4D"/>
    <w:rsid w:val="00DB101D"/>
    <w:rsid w:val="00DB1E5C"/>
    <w:rsid w:val="00DB2046"/>
    <w:rsid w:val="00DB2449"/>
    <w:rsid w:val="00DB2728"/>
    <w:rsid w:val="00DB27FC"/>
    <w:rsid w:val="00DB4104"/>
    <w:rsid w:val="00DB4ACD"/>
    <w:rsid w:val="00DB57F8"/>
    <w:rsid w:val="00DB65CC"/>
    <w:rsid w:val="00DB6E72"/>
    <w:rsid w:val="00DB7B76"/>
    <w:rsid w:val="00DC2AD5"/>
    <w:rsid w:val="00DC6780"/>
    <w:rsid w:val="00DC74A5"/>
    <w:rsid w:val="00DD07AA"/>
    <w:rsid w:val="00DD0BC9"/>
    <w:rsid w:val="00DD3007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402C"/>
    <w:rsid w:val="00DF5D15"/>
    <w:rsid w:val="00DF686E"/>
    <w:rsid w:val="00DF7125"/>
    <w:rsid w:val="00E015DC"/>
    <w:rsid w:val="00E017C8"/>
    <w:rsid w:val="00E025D7"/>
    <w:rsid w:val="00E032E7"/>
    <w:rsid w:val="00E035DD"/>
    <w:rsid w:val="00E0454C"/>
    <w:rsid w:val="00E047B2"/>
    <w:rsid w:val="00E060F5"/>
    <w:rsid w:val="00E06808"/>
    <w:rsid w:val="00E07AF5"/>
    <w:rsid w:val="00E1053F"/>
    <w:rsid w:val="00E1058D"/>
    <w:rsid w:val="00E1127D"/>
    <w:rsid w:val="00E116B2"/>
    <w:rsid w:val="00E121CF"/>
    <w:rsid w:val="00E1239C"/>
    <w:rsid w:val="00E125A9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31C7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171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A2F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394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4F0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37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8311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8311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3503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2022-09-26T18:44:00Z</dcterms:created>
  <dcterms:modified xsi:type="dcterms:W3CDTF">2023-09-27T19:23:00Z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2023-02-15T09:30:58Z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9de5226d-1a3e-4565-a8b1-4defb114e486</vt:lpwstr>
  </property>
  <property fmtid="{D5CDD505-2E9C-101B-9397-08002B2CF9AE}" pid="9" name="MSIP_Label_83bcef13-7cac-433f-ba1d-47a323951816_ContentBits">
    <vt:lpwstr>0</vt:lpwstr>
  </property>
</Properties>
</file>